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15F3" w14:textId="77777777" w:rsidR="00EB1C5A" w:rsidRPr="00E14EC2" w:rsidRDefault="00EB1C5A" w:rsidP="004321DB">
      <w:pPr>
        <w:pStyle w:val="F2-zkladn"/>
        <w:rPr>
          <w:b/>
          <w:sz w:val="28"/>
          <w:szCs w:val="28"/>
        </w:rPr>
      </w:pPr>
      <w:r>
        <w:rPr>
          <w:b/>
          <w:sz w:val="28"/>
          <w:szCs w:val="28"/>
        </w:rPr>
        <w:t>TISKOVÁ ZPRÁVA</w:t>
      </w:r>
    </w:p>
    <w:p w14:paraId="3730F680" w14:textId="3D461CDD" w:rsidR="00EB1C5A" w:rsidRDefault="00EB1C5A" w:rsidP="004321DB">
      <w:pPr>
        <w:pStyle w:val="F2-zkladn"/>
        <w:tabs>
          <w:tab w:val="right" w:pos="9070"/>
        </w:tabs>
      </w:pPr>
      <w:r>
        <w:tab/>
      </w:r>
      <w:r w:rsidR="7C25CE9C">
        <w:t xml:space="preserve"> </w:t>
      </w:r>
      <w:r w:rsidR="00BE16A9">
        <w:t xml:space="preserve">Praha, </w:t>
      </w:r>
      <w:r w:rsidR="00D46539">
        <w:t>1</w:t>
      </w:r>
      <w:r w:rsidR="0097728F">
        <w:t>7</w:t>
      </w:r>
      <w:r w:rsidR="00BE16A9" w:rsidRPr="001665B3">
        <w:t>.</w:t>
      </w:r>
      <w:r w:rsidR="00BE16A9">
        <w:t xml:space="preserve"> </w:t>
      </w:r>
      <w:r w:rsidR="003275FA">
        <w:t>července</w:t>
      </w:r>
      <w:r w:rsidR="625BE913">
        <w:t xml:space="preserve"> </w:t>
      </w:r>
      <w:r w:rsidR="00BE16A9">
        <w:t>202</w:t>
      </w:r>
      <w:r w:rsidR="006D468D">
        <w:t>6</w:t>
      </w:r>
    </w:p>
    <w:p w14:paraId="1D4672CB" w14:textId="77777777" w:rsidR="007A39B8" w:rsidRDefault="007A39B8" w:rsidP="007A39B8">
      <w:pPr>
        <w:tabs>
          <w:tab w:val="right" w:pos="9070"/>
        </w:tabs>
        <w:spacing w:after="0" w:line="264" w:lineRule="auto"/>
        <w:jc w:val="both"/>
        <w:rPr>
          <w:rFonts w:ascii="Arial" w:hAnsi="Arial" w:cs="Arial"/>
          <w:b/>
          <w:bCs/>
          <w:sz w:val="24"/>
          <w:szCs w:val="24"/>
        </w:rPr>
      </w:pPr>
    </w:p>
    <w:p w14:paraId="20A50E59" w14:textId="77777777" w:rsidR="005E16B6" w:rsidRDefault="005E16B6" w:rsidP="007A39B8">
      <w:pPr>
        <w:tabs>
          <w:tab w:val="right" w:pos="9070"/>
        </w:tabs>
        <w:spacing w:after="0" w:line="264" w:lineRule="auto"/>
        <w:jc w:val="center"/>
        <w:rPr>
          <w:rFonts w:ascii="Arial" w:hAnsi="Arial" w:cs="Arial"/>
          <w:b/>
          <w:bCs/>
          <w:sz w:val="26"/>
          <w:szCs w:val="26"/>
        </w:rPr>
      </w:pPr>
    </w:p>
    <w:p w14:paraId="2E9BDB58" w14:textId="77777777" w:rsidR="00CB5D30" w:rsidRDefault="00CB5D30" w:rsidP="00A05DF4">
      <w:pPr>
        <w:pStyle w:val="Default"/>
        <w:spacing w:line="264" w:lineRule="auto"/>
        <w:jc w:val="center"/>
        <w:rPr>
          <w:rFonts w:eastAsia="Calibri"/>
          <w:b/>
          <w:bCs/>
          <w:color w:val="auto"/>
          <w:sz w:val="26"/>
          <w:szCs w:val="26"/>
        </w:rPr>
      </w:pPr>
    </w:p>
    <w:p w14:paraId="762E144B" w14:textId="0D9E413C" w:rsidR="00CB5D30" w:rsidRDefault="00C025F1" w:rsidP="005500FE">
      <w:pPr>
        <w:pStyle w:val="Default"/>
        <w:spacing w:line="264" w:lineRule="auto"/>
        <w:jc w:val="both"/>
        <w:rPr>
          <w:rFonts w:eastAsia="Calibri"/>
          <w:b/>
          <w:bCs/>
          <w:color w:val="auto"/>
          <w:sz w:val="26"/>
          <w:szCs w:val="26"/>
        </w:rPr>
      </w:pPr>
      <w:r w:rsidRPr="00C025F1">
        <w:rPr>
          <w:rFonts w:eastAsia="Calibri"/>
          <w:b/>
          <w:bCs/>
          <w:color w:val="auto"/>
          <w:sz w:val="26"/>
          <w:szCs w:val="26"/>
        </w:rPr>
        <w:t>Analýza TPA: Český trh fúzí a akvizic zůstává stabilní, region CEE dál zpomaluje</w:t>
      </w:r>
    </w:p>
    <w:p w14:paraId="60B83461" w14:textId="77777777" w:rsidR="00C025F1" w:rsidRDefault="00C025F1" w:rsidP="005500FE">
      <w:pPr>
        <w:pStyle w:val="Default"/>
        <w:spacing w:line="264" w:lineRule="auto"/>
        <w:jc w:val="both"/>
        <w:rPr>
          <w:rFonts w:eastAsia="Times New Roman"/>
          <w:b/>
          <w:bCs/>
          <w:sz w:val="22"/>
          <w:szCs w:val="22"/>
          <w:lang w:eastAsia="cs-CZ"/>
        </w:rPr>
      </w:pPr>
    </w:p>
    <w:p w14:paraId="10E5FAAA" w14:textId="0127735C" w:rsidR="00F272AB" w:rsidRDefault="0072472B" w:rsidP="005500FE">
      <w:pPr>
        <w:pStyle w:val="Default"/>
        <w:spacing w:line="264" w:lineRule="auto"/>
        <w:jc w:val="both"/>
        <w:rPr>
          <w:rFonts w:eastAsia="Times New Roman"/>
          <w:b/>
          <w:bCs/>
          <w:sz w:val="22"/>
          <w:szCs w:val="22"/>
          <w:lang w:eastAsia="cs-CZ"/>
        </w:rPr>
      </w:pPr>
      <w:r w:rsidRPr="0072472B">
        <w:rPr>
          <w:rFonts w:eastAsia="Times New Roman"/>
          <w:b/>
          <w:bCs/>
          <w:sz w:val="22"/>
          <w:szCs w:val="22"/>
          <w:lang w:eastAsia="cs-CZ"/>
        </w:rPr>
        <w:t xml:space="preserve">Počet i objem transakcí na trhu fúzí a akvizic v České republice se ve druhém čtvrtletí letošního roku v meziročním srovnání prakticky nezměnily. Na území ČR či se zapojením </w:t>
      </w:r>
      <w:r w:rsidR="00494B40">
        <w:rPr>
          <w:rFonts w:eastAsia="Times New Roman"/>
          <w:b/>
          <w:bCs/>
          <w:sz w:val="22"/>
          <w:szCs w:val="22"/>
          <w:lang w:eastAsia="cs-CZ"/>
        </w:rPr>
        <w:t>českých subjektů</w:t>
      </w:r>
      <w:r w:rsidRPr="0072472B">
        <w:rPr>
          <w:rFonts w:eastAsia="Times New Roman"/>
          <w:b/>
          <w:bCs/>
          <w:sz w:val="22"/>
          <w:szCs w:val="22"/>
          <w:lang w:eastAsia="cs-CZ"/>
        </w:rPr>
        <w:t xml:space="preserve"> se uskutečnilo 26 transakcí v celkové hodnotě 212 milionů eur (5,1 miliardy Kč), zatímco ve stejném období loni jich bylo rovněž 26 za 214 milionů eur (cca 5,2 miliardy Kč). Největší zveřejněnou transakcí se zapojením ČR byla akvizice nákupního centra Lumini u chorvatského Varaždinu českou investiční skupinou DRFG. Vyplývá to z pravidelné analýzy společnosti TPA Valuation &amp; Advisory.</w:t>
      </w:r>
    </w:p>
    <w:p w14:paraId="4E742513" w14:textId="77777777" w:rsidR="00643279" w:rsidRDefault="00643279" w:rsidP="005500FE">
      <w:pPr>
        <w:pStyle w:val="Default"/>
        <w:spacing w:line="264" w:lineRule="auto"/>
        <w:jc w:val="both"/>
        <w:rPr>
          <w:rFonts w:eastAsia="Times New Roman"/>
          <w:b/>
          <w:bCs/>
          <w:sz w:val="22"/>
          <w:szCs w:val="22"/>
          <w:lang w:eastAsia="cs-CZ"/>
        </w:rPr>
      </w:pPr>
    </w:p>
    <w:p w14:paraId="137EE87A" w14:textId="3D7C4A47" w:rsidR="00CB5D30" w:rsidRDefault="00F04685" w:rsidP="0012598B">
      <w:pPr>
        <w:jc w:val="both"/>
        <w:rPr>
          <w:rFonts w:ascii="Arial" w:hAnsi="Arial" w:cs="Arial"/>
        </w:rPr>
      </w:pPr>
      <w:r w:rsidRPr="00F04685">
        <w:rPr>
          <w:rFonts w:ascii="Arial" w:eastAsia="Times New Roman" w:hAnsi="Arial" w:cs="Arial"/>
          <w:color w:val="000000"/>
          <w:lang w:eastAsia="cs-CZ"/>
        </w:rPr>
        <w:t xml:space="preserve">Koupě nákupního centra Lumini u chorvatského Varaždinu, největší retailové destinace v severozápadním Chorvatsku, byla pro skupinu DRFG již o druhou akvizici komerční nemovitosti na chorvatském trhu. </w:t>
      </w:r>
      <w:r w:rsidRPr="0012598B">
        <w:rPr>
          <w:rFonts w:ascii="Arial" w:eastAsia="Times New Roman" w:hAnsi="Arial" w:cs="Arial"/>
          <w:i/>
          <w:iCs/>
          <w:color w:val="000000"/>
          <w:lang w:eastAsia="cs-CZ"/>
        </w:rPr>
        <w:t xml:space="preserve">„Hodnota transakce činí přibližně 51,8 milionů eur a akvizice představuje </w:t>
      </w:r>
      <w:r w:rsidRPr="0012598B">
        <w:rPr>
          <w:rFonts w:ascii="Arial" w:eastAsia="Times New Roman" w:hAnsi="Arial" w:cs="Arial"/>
          <w:i/>
          <w:iCs/>
          <w:lang w:eastAsia="cs-CZ"/>
        </w:rPr>
        <w:t>další krok v expanzi realitního portfolia DRFG v regionu střední a východní Evropy,“</w:t>
      </w:r>
      <w:r w:rsidR="0012598B" w:rsidRPr="0012598B">
        <w:rPr>
          <w:rFonts w:ascii="Arial" w:eastAsia="Times New Roman" w:hAnsi="Arial" w:cs="Arial"/>
          <w:i/>
          <w:iCs/>
          <w:lang w:eastAsia="cs-CZ"/>
        </w:rPr>
        <w:t xml:space="preserve"> </w:t>
      </w:r>
      <w:r w:rsidR="00900988" w:rsidRPr="0012598B">
        <w:rPr>
          <w:rFonts w:ascii="Arial" w:hAnsi="Arial" w:cs="Arial"/>
        </w:rPr>
        <w:t xml:space="preserve">uvedl </w:t>
      </w:r>
      <w:r w:rsidR="00CB5D30" w:rsidRPr="0012598B">
        <w:rPr>
          <w:rFonts w:ascii="Arial" w:hAnsi="Arial" w:cs="Arial"/>
        </w:rPr>
        <w:t>Jiří Hlaváč partner TPA Valuation &amp; Advisory.</w:t>
      </w:r>
    </w:p>
    <w:p w14:paraId="4804C981" w14:textId="77777777" w:rsidR="00B5103D" w:rsidRPr="00B5103D" w:rsidRDefault="00B5103D" w:rsidP="00B5103D">
      <w:pPr>
        <w:jc w:val="both"/>
        <w:rPr>
          <w:rFonts w:ascii="Arial" w:eastAsia="Times New Roman" w:hAnsi="Arial" w:cs="Arial"/>
          <w:color w:val="000000"/>
          <w:lang w:eastAsia="cs-CZ"/>
        </w:rPr>
      </w:pPr>
      <w:r w:rsidRPr="00B5103D">
        <w:rPr>
          <w:rFonts w:ascii="Arial" w:eastAsia="Times New Roman" w:hAnsi="Arial" w:cs="Arial"/>
          <w:color w:val="000000"/>
          <w:lang w:eastAsia="cs-CZ"/>
        </w:rPr>
        <w:t>V celém středoevropském regionu (Albánie, Bulharsko, Černá Hora, Česká republika, Chorvatsko, Maďarsko, Polsko, Rakousko, Rumunsko, Slovensko, Slovinsko a Srbsko) TPA registruje meziroční pokles počtu transakcí o šest procent na 217. Zároveň objem transakcí klesl na 5,57 miliardy eur (zhruba 135 miliard Kč) z 6,07 miliardy eur (cca 147 miliard Kč) ve stejném období loni. Nejvíce transakcí bylo zaznamenáno opět v Polsku, a zemí s největším objemem se stalo Rakousko.</w:t>
      </w:r>
    </w:p>
    <w:p w14:paraId="25F73E55" w14:textId="77777777" w:rsidR="00B84FD0" w:rsidRPr="00B84FD0" w:rsidRDefault="00B84FD0" w:rsidP="00B84FD0">
      <w:pPr>
        <w:jc w:val="both"/>
        <w:rPr>
          <w:rFonts w:ascii="Arial" w:hAnsi="Arial" w:cs="Arial"/>
        </w:rPr>
      </w:pPr>
      <w:r w:rsidRPr="00B84FD0">
        <w:rPr>
          <w:rFonts w:ascii="Arial" w:hAnsi="Arial" w:cs="Arial"/>
        </w:rPr>
        <w:t>Nejvýznamnější zveřejněnou transakcí ve druhém čtvrtletí v regionu byla nabídka převzetí rakouské společnosti Kontron AG, předního evropského výrobce vestavěných systémů a AIoT řešení působícího ve více než 30 zemích světa. Kupujícím je tchajwanská společnost Ennoconn Corporation ze skupiny Foxconn. Firma je akcionářem Kontronu od roku 2016 a v červnu 2026 po překročení kontrolního 30% prahu oznámila nabídku na odkup akcií za cenu 23,50 eur za akcii, což odpovídá hodnotě podílu zhruba 1,322 miliardy eur. Transakce ještě podléhá schválení regulatorních orgánů, rozhodnuto by mohlo být na konci srpna 2026.</w:t>
      </w:r>
    </w:p>
    <w:p w14:paraId="4A7ADF98" w14:textId="23B6EA81" w:rsidR="003808D9" w:rsidRPr="003808D9" w:rsidRDefault="003808D9" w:rsidP="003808D9">
      <w:pPr>
        <w:jc w:val="both"/>
        <w:rPr>
          <w:rFonts w:ascii="Arial" w:eastAsia="Times New Roman" w:hAnsi="Arial" w:cs="Arial"/>
          <w:color w:val="000000"/>
          <w:lang w:eastAsia="cs-CZ"/>
        </w:rPr>
      </w:pPr>
      <w:r w:rsidRPr="003808D9">
        <w:rPr>
          <w:rFonts w:ascii="Arial" w:eastAsia="Times New Roman" w:hAnsi="Arial" w:cs="Arial"/>
          <w:color w:val="000000"/>
          <w:lang w:eastAsia="cs-CZ"/>
        </w:rPr>
        <w:t xml:space="preserve">Trh fúzí a akvizic je podle </w:t>
      </w:r>
      <w:r>
        <w:rPr>
          <w:rFonts w:ascii="Arial" w:eastAsia="Times New Roman" w:hAnsi="Arial" w:cs="Arial"/>
          <w:color w:val="000000"/>
          <w:lang w:eastAsia="cs-CZ"/>
        </w:rPr>
        <w:t>Hlaváče</w:t>
      </w:r>
      <w:r w:rsidRPr="003808D9">
        <w:rPr>
          <w:rFonts w:ascii="Arial" w:eastAsia="Times New Roman" w:hAnsi="Arial" w:cs="Arial"/>
          <w:color w:val="000000"/>
          <w:lang w:eastAsia="cs-CZ"/>
        </w:rPr>
        <w:t xml:space="preserve"> nadále ovlivněn vysokou mírou nejistoty, která pramení z pokračujícího konfliktu na Ukrajině, nestabilní globální bezpečnostní situace a geopolitického napětí. K této nejistotě dále přispívá pokračující konflikt na Blízkém východě a s ní spojené volatilní ceny energií, které negativně ovlivňují výhled investorů.  </w:t>
      </w:r>
    </w:p>
    <w:p w14:paraId="5A1FD347" w14:textId="0D6AA0ED" w:rsidR="001E3C6B" w:rsidRDefault="001E3C6B" w:rsidP="001E3C6B">
      <w:pPr>
        <w:jc w:val="both"/>
        <w:rPr>
          <w:rFonts w:ascii="Arial" w:eastAsia="Times New Roman" w:hAnsi="Arial" w:cs="Arial"/>
          <w:color w:val="000000"/>
          <w:lang w:eastAsia="cs-CZ"/>
        </w:rPr>
      </w:pPr>
      <w:r w:rsidRPr="001E3C6B">
        <w:rPr>
          <w:rFonts w:ascii="Arial" w:eastAsia="Times New Roman" w:hAnsi="Arial" w:cs="Arial"/>
          <w:i/>
          <w:iCs/>
          <w:color w:val="000000"/>
          <w:lang w:eastAsia="cs-CZ"/>
        </w:rPr>
        <w:t>„Výhled na druhou polovinu roku 2026 je opatrný, lze očekávat oživení v atraktivních segmentech,“</w:t>
      </w:r>
      <w:r w:rsidRPr="001E3C6B">
        <w:rPr>
          <w:rFonts w:ascii="Arial" w:eastAsia="Times New Roman" w:hAnsi="Arial" w:cs="Arial"/>
          <w:color w:val="000000"/>
          <w:lang w:eastAsia="cs-CZ"/>
        </w:rPr>
        <w:t xml:space="preserve"> uvedl</w:t>
      </w:r>
      <w:r>
        <w:rPr>
          <w:rFonts w:ascii="Arial" w:eastAsia="Times New Roman" w:hAnsi="Arial" w:cs="Arial"/>
          <w:color w:val="000000"/>
          <w:lang w:eastAsia="cs-CZ"/>
        </w:rPr>
        <w:t xml:space="preserve"> Jiří Hlavá</w:t>
      </w:r>
      <w:r w:rsidR="00BF343C">
        <w:rPr>
          <w:rFonts w:ascii="Arial" w:eastAsia="Times New Roman" w:hAnsi="Arial" w:cs="Arial"/>
          <w:color w:val="000000"/>
          <w:lang w:eastAsia="cs-CZ"/>
        </w:rPr>
        <w:t>č</w:t>
      </w:r>
      <w:r w:rsidRPr="001E3C6B">
        <w:rPr>
          <w:rFonts w:ascii="Arial" w:eastAsia="Times New Roman" w:hAnsi="Arial" w:cs="Arial"/>
          <w:color w:val="000000"/>
          <w:lang w:eastAsia="cs-CZ"/>
        </w:rPr>
        <w:t xml:space="preserve">. Pro investory podle něj zůstávají atraktivní sektory počítačového softwaru, automatizace, digitalizace a robotizace či telekomunikací. Zvýšená atraktivita zůstává v oblasti energetiky, zdravotnictví a infrastruktury. </w:t>
      </w:r>
      <w:r w:rsidR="00BC4BF4">
        <w:rPr>
          <w:rFonts w:ascii="Arial" w:eastAsia="Times New Roman" w:hAnsi="Arial" w:cs="Arial"/>
          <w:color w:val="000000"/>
          <w:lang w:eastAsia="cs-CZ"/>
        </w:rPr>
        <w:t>S</w:t>
      </w:r>
      <w:r w:rsidR="00BF343C">
        <w:rPr>
          <w:rFonts w:ascii="Arial" w:eastAsia="Times New Roman" w:hAnsi="Arial" w:cs="Arial"/>
          <w:color w:val="000000"/>
          <w:lang w:eastAsia="cs-CZ"/>
        </w:rPr>
        <w:t>tabilní zájem</w:t>
      </w:r>
      <w:r w:rsidRPr="001E3C6B">
        <w:rPr>
          <w:rFonts w:ascii="Arial" w:eastAsia="Times New Roman" w:hAnsi="Arial" w:cs="Arial"/>
          <w:color w:val="000000"/>
          <w:lang w:eastAsia="cs-CZ"/>
        </w:rPr>
        <w:t xml:space="preserve"> </w:t>
      </w:r>
      <w:r w:rsidR="00BC4BF4">
        <w:rPr>
          <w:rFonts w:ascii="Arial" w:eastAsia="Times New Roman" w:hAnsi="Arial" w:cs="Arial"/>
          <w:color w:val="000000"/>
          <w:lang w:eastAsia="cs-CZ"/>
        </w:rPr>
        <w:t>přetrvává</w:t>
      </w:r>
      <w:r w:rsidR="00503112">
        <w:rPr>
          <w:rFonts w:ascii="Arial" w:eastAsia="Times New Roman" w:hAnsi="Arial" w:cs="Arial"/>
          <w:color w:val="000000"/>
          <w:lang w:eastAsia="cs-CZ"/>
        </w:rPr>
        <w:t xml:space="preserve"> o</w:t>
      </w:r>
      <w:r w:rsidRPr="001E3C6B">
        <w:rPr>
          <w:rFonts w:ascii="Arial" w:eastAsia="Times New Roman" w:hAnsi="Arial" w:cs="Arial"/>
          <w:color w:val="000000"/>
          <w:lang w:eastAsia="cs-CZ"/>
        </w:rPr>
        <w:t xml:space="preserve"> výrobu s unikátním produktem. </w:t>
      </w:r>
    </w:p>
    <w:p w14:paraId="473F279C" w14:textId="08C9BC96" w:rsidR="0020544F" w:rsidRPr="0020544F" w:rsidRDefault="0020544F" w:rsidP="0020544F">
      <w:pPr>
        <w:jc w:val="both"/>
        <w:rPr>
          <w:rFonts w:ascii="Arial" w:eastAsia="Times New Roman" w:hAnsi="Arial" w:cs="Arial"/>
          <w:color w:val="000000"/>
          <w:lang w:eastAsia="cs-CZ"/>
        </w:rPr>
      </w:pPr>
      <w:r w:rsidRPr="0020544F">
        <w:rPr>
          <w:rFonts w:ascii="Arial" w:eastAsia="Times New Roman" w:hAnsi="Arial" w:cs="Arial"/>
          <w:color w:val="000000"/>
          <w:lang w:eastAsia="cs-CZ"/>
        </w:rPr>
        <w:lastRenderedPageBreak/>
        <w:t xml:space="preserve">Ve srovnání s prvním čtvrtletím letošního roku v celém regionu klesl počet transakcí o 42, přičemž objem transakcí klesl o více než 60 procent. To je do značné míry dáno mimořádně vysokou srovnávací základnou prvního čtvrtletí, který byl ovlivněn rekordní transakcí </w:t>
      </w:r>
      <w:r w:rsidR="00596EFE">
        <w:rPr>
          <w:rFonts w:ascii="Arial" w:eastAsia="Times New Roman" w:hAnsi="Arial" w:cs="Arial"/>
          <w:color w:val="000000"/>
          <w:lang w:eastAsia="cs-CZ"/>
        </w:rPr>
        <w:t xml:space="preserve">související </w:t>
      </w:r>
      <w:r w:rsidR="00DB44AD">
        <w:rPr>
          <w:rFonts w:ascii="Arial" w:eastAsia="Times New Roman" w:hAnsi="Arial" w:cs="Arial"/>
          <w:color w:val="000000"/>
          <w:lang w:eastAsia="cs-CZ"/>
        </w:rPr>
        <w:t>s</w:t>
      </w:r>
      <w:r w:rsidR="00DB44AD" w:rsidRPr="0020544F">
        <w:rPr>
          <w:rFonts w:ascii="Arial" w:eastAsia="Times New Roman" w:hAnsi="Arial" w:cs="Arial"/>
          <w:color w:val="000000"/>
          <w:lang w:eastAsia="cs-CZ"/>
        </w:rPr>
        <w:t xml:space="preserve"> lucembursko</w:t>
      </w:r>
      <w:r w:rsidRPr="0020544F">
        <w:rPr>
          <w:rFonts w:ascii="Arial" w:eastAsia="Times New Roman" w:hAnsi="Arial" w:cs="Arial"/>
          <w:color w:val="000000"/>
          <w:lang w:eastAsia="cs-CZ"/>
        </w:rPr>
        <w:t>-polsk</w:t>
      </w:r>
      <w:r w:rsidR="00596EFE">
        <w:rPr>
          <w:rFonts w:ascii="Arial" w:eastAsia="Times New Roman" w:hAnsi="Arial" w:cs="Arial"/>
          <w:color w:val="000000"/>
          <w:lang w:eastAsia="cs-CZ"/>
        </w:rPr>
        <w:t>ou</w:t>
      </w:r>
      <w:r w:rsidRPr="0020544F">
        <w:rPr>
          <w:rFonts w:ascii="Arial" w:eastAsia="Times New Roman" w:hAnsi="Arial" w:cs="Arial"/>
          <w:color w:val="000000"/>
          <w:lang w:eastAsia="cs-CZ"/>
        </w:rPr>
        <w:t xml:space="preserve"> logistick</w:t>
      </w:r>
      <w:r w:rsidR="00596EFE">
        <w:rPr>
          <w:rFonts w:ascii="Arial" w:eastAsia="Times New Roman" w:hAnsi="Arial" w:cs="Arial"/>
          <w:color w:val="000000"/>
          <w:lang w:eastAsia="cs-CZ"/>
        </w:rPr>
        <w:t>ou</w:t>
      </w:r>
      <w:r w:rsidRPr="0020544F">
        <w:rPr>
          <w:rFonts w:ascii="Arial" w:eastAsia="Times New Roman" w:hAnsi="Arial" w:cs="Arial"/>
          <w:color w:val="000000"/>
          <w:lang w:eastAsia="cs-CZ"/>
        </w:rPr>
        <w:t xml:space="preserve"> společnosti InPost, která provozuje síť více než 61</w:t>
      </w:r>
      <w:r w:rsidR="00DB44AD">
        <w:rPr>
          <w:rFonts w:ascii="Arial" w:eastAsia="Times New Roman" w:hAnsi="Arial" w:cs="Arial"/>
          <w:color w:val="000000"/>
          <w:lang w:eastAsia="cs-CZ"/>
        </w:rPr>
        <w:t xml:space="preserve"> </w:t>
      </w:r>
      <w:r w:rsidRPr="0020544F">
        <w:rPr>
          <w:rFonts w:ascii="Arial" w:eastAsia="Times New Roman" w:hAnsi="Arial" w:cs="Arial"/>
          <w:color w:val="000000"/>
          <w:lang w:eastAsia="cs-CZ"/>
        </w:rPr>
        <w:t>000 automatických výdejních boxů napříč Evropou.</w:t>
      </w:r>
    </w:p>
    <w:p w14:paraId="336BDE44" w14:textId="7C8B7CF4" w:rsidR="00643279" w:rsidRPr="00DD5E40" w:rsidRDefault="0032161F" w:rsidP="00DD5E40">
      <w:pPr>
        <w:jc w:val="both"/>
        <w:rPr>
          <w:rFonts w:ascii="Arial" w:eastAsia="Times New Roman" w:hAnsi="Arial" w:cs="Arial"/>
          <w:color w:val="000000"/>
          <w:lang w:eastAsia="cs-CZ"/>
        </w:rPr>
      </w:pPr>
      <w:r w:rsidRPr="0032161F">
        <w:rPr>
          <w:rFonts w:ascii="Arial" w:eastAsia="Times New Roman" w:hAnsi="Arial" w:cs="Arial"/>
          <w:color w:val="000000"/>
          <w:lang w:eastAsia="cs-CZ"/>
        </w:rPr>
        <w:t>V Česku počet transakcí mezičtvrtletně stoupl o jednu a objem o 208 milionů eur (4 miliony eur v 1. čtvrtletí 2026 vs. 212 milionů eur v 2. čtvrtletí 2026). Objem transakcí v prvním čtvrtletí je dán tím, že na českém trhu byla zveřejněna kupní cena pouze jediné transakce.</w:t>
      </w:r>
    </w:p>
    <w:p w14:paraId="368A6582" w14:textId="77777777" w:rsidR="00021254" w:rsidRDefault="00021254" w:rsidP="003916F2">
      <w:pPr>
        <w:pStyle w:val="F2-zkladn"/>
        <w:tabs>
          <w:tab w:val="right" w:pos="9070"/>
        </w:tabs>
        <w:spacing w:before="0" w:line="240" w:lineRule="auto"/>
        <w:rPr>
          <w:b/>
        </w:rPr>
      </w:pPr>
    </w:p>
    <w:p w14:paraId="766502C4" w14:textId="77777777" w:rsidR="00EB1C5A" w:rsidRPr="007A39B8" w:rsidRDefault="00EB1C5A" w:rsidP="007A39B8">
      <w:pPr>
        <w:pStyle w:val="F2-zkladn"/>
        <w:tabs>
          <w:tab w:val="right" w:pos="9070"/>
        </w:tabs>
        <w:spacing w:before="0" w:line="264" w:lineRule="auto"/>
        <w:rPr>
          <w:b/>
        </w:rPr>
      </w:pPr>
      <w:r w:rsidRPr="007A39B8">
        <w:rPr>
          <w:b/>
        </w:rPr>
        <w:t>Pro více informací kontaktujte:</w:t>
      </w:r>
    </w:p>
    <w:p w14:paraId="1C28118A" w14:textId="73FE04A0" w:rsidR="00EB1C5A" w:rsidRPr="007A39B8" w:rsidRDefault="002A3294" w:rsidP="007A39B8">
      <w:pPr>
        <w:spacing w:after="0" w:line="264" w:lineRule="auto"/>
        <w:rPr>
          <w:rFonts w:ascii="Arial" w:hAnsi="Arial" w:cs="Arial"/>
          <w:sz w:val="20"/>
          <w:szCs w:val="20"/>
        </w:rPr>
      </w:pPr>
      <w:r w:rsidRPr="007A39B8">
        <w:rPr>
          <w:rFonts w:ascii="Arial" w:hAnsi="Arial" w:cs="Arial"/>
          <w:sz w:val="20"/>
          <w:szCs w:val="20"/>
        </w:rPr>
        <w:t>Kamila Žitnáková</w:t>
      </w:r>
    </w:p>
    <w:p w14:paraId="4835AA2F" w14:textId="77777777" w:rsidR="00EB1C5A" w:rsidRPr="007A39B8" w:rsidRDefault="00EB1C5A" w:rsidP="007A39B8">
      <w:pPr>
        <w:spacing w:after="0" w:line="264" w:lineRule="auto"/>
        <w:rPr>
          <w:rFonts w:ascii="Arial" w:hAnsi="Arial" w:cs="Arial"/>
          <w:b/>
          <w:bCs/>
          <w:sz w:val="20"/>
          <w:szCs w:val="20"/>
        </w:rPr>
      </w:pPr>
      <w:r w:rsidRPr="007A39B8">
        <w:rPr>
          <w:rFonts w:ascii="Arial" w:hAnsi="Arial" w:cs="Arial"/>
          <w:b/>
          <w:bCs/>
          <w:sz w:val="20"/>
          <w:szCs w:val="20"/>
        </w:rPr>
        <w:t>Crest Communications, a.s.</w:t>
      </w:r>
    </w:p>
    <w:p w14:paraId="4DCE98C0" w14:textId="77777777" w:rsidR="00EB1C5A" w:rsidRPr="007A39B8" w:rsidRDefault="00EB1C5A" w:rsidP="007A39B8">
      <w:pPr>
        <w:spacing w:after="0" w:line="264" w:lineRule="auto"/>
        <w:rPr>
          <w:rFonts w:ascii="Arial" w:hAnsi="Arial" w:cs="Arial"/>
          <w:sz w:val="20"/>
          <w:szCs w:val="20"/>
        </w:rPr>
      </w:pPr>
      <w:r w:rsidRPr="007A39B8">
        <w:rPr>
          <w:rFonts w:ascii="Arial" w:hAnsi="Arial" w:cs="Arial"/>
          <w:sz w:val="20"/>
          <w:szCs w:val="20"/>
        </w:rPr>
        <w:t>Ostrovní 126/30</w:t>
      </w:r>
    </w:p>
    <w:p w14:paraId="09C6E920" w14:textId="77777777" w:rsidR="00EB1C5A" w:rsidRPr="007A39B8" w:rsidRDefault="00EB1C5A" w:rsidP="007A39B8">
      <w:pPr>
        <w:spacing w:after="0" w:line="264" w:lineRule="auto"/>
        <w:rPr>
          <w:rFonts w:ascii="Arial" w:hAnsi="Arial" w:cs="Arial"/>
          <w:sz w:val="20"/>
          <w:szCs w:val="20"/>
        </w:rPr>
      </w:pPr>
      <w:r w:rsidRPr="007A39B8">
        <w:rPr>
          <w:rFonts w:ascii="Arial" w:hAnsi="Arial" w:cs="Arial"/>
          <w:sz w:val="20"/>
          <w:szCs w:val="20"/>
        </w:rPr>
        <w:t>110 00 Praha 1</w:t>
      </w:r>
    </w:p>
    <w:p w14:paraId="2EEA2F44" w14:textId="5E276D42" w:rsidR="00EB1C5A" w:rsidRPr="007A39B8" w:rsidRDefault="00EB1C5A" w:rsidP="007A39B8">
      <w:pPr>
        <w:spacing w:after="0" w:line="264" w:lineRule="auto"/>
        <w:rPr>
          <w:rFonts w:ascii="Arial" w:hAnsi="Arial" w:cs="Arial"/>
          <w:sz w:val="20"/>
          <w:szCs w:val="20"/>
        </w:rPr>
      </w:pPr>
      <w:r w:rsidRPr="007A39B8">
        <w:rPr>
          <w:rFonts w:ascii="Arial" w:hAnsi="Arial" w:cs="Arial"/>
          <w:sz w:val="20"/>
          <w:szCs w:val="20"/>
        </w:rPr>
        <w:t xml:space="preserve">gsm: + 420 </w:t>
      </w:r>
      <w:r w:rsidR="003D5F96" w:rsidRPr="007A39B8">
        <w:rPr>
          <w:rFonts w:ascii="Arial" w:hAnsi="Arial" w:cs="Arial"/>
          <w:sz w:val="20"/>
          <w:szCs w:val="20"/>
        </w:rPr>
        <w:t>725 544 106</w:t>
      </w:r>
    </w:p>
    <w:p w14:paraId="692417D8" w14:textId="77777777" w:rsidR="00EB1C5A" w:rsidRPr="007A39B8" w:rsidRDefault="00EB1C5A" w:rsidP="007A39B8">
      <w:pPr>
        <w:spacing w:after="0" w:line="264" w:lineRule="auto"/>
        <w:rPr>
          <w:rFonts w:ascii="Arial" w:hAnsi="Arial" w:cs="Arial"/>
          <w:sz w:val="20"/>
          <w:szCs w:val="20"/>
        </w:rPr>
      </w:pPr>
      <w:hyperlink w:tooltip="blocked::http://www.crestcom.cz&#10;http://www.crestcom.cz/" w:history="1">
        <w:r w:rsidRPr="007A39B8">
          <w:rPr>
            <w:rStyle w:val="Hypertextovodkaz"/>
            <w:rFonts w:ascii="Arial" w:hAnsi="Arial" w:cs="Arial"/>
            <w:color w:val="990033"/>
            <w:sz w:val="20"/>
            <w:szCs w:val="20"/>
          </w:rPr>
          <w:t>www.crestcom.cz</w:t>
        </w:r>
      </w:hyperlink>
    </w:p>
    <w:p w14:paraId="28B3B900" w14:textId="5CDD139B" w:rsidR="00316D20" w:rsidRPr="007A39B8" w:rsidRDefault="00EB1C5A" w:rsidP="007A39B8">
      <w:pPr>
        <w:spacing w:after="0" w:line="264" w:lineRule="auto"/>
        <w:rPr>
          <w:rStyle w:val="Hypertextovodkaz"/>
          <w:rFonts w:ascii="Arial" w:hAnsi="Arial" w:cs="Arial"/>
          <w:color w:val="990033"/>
          <w:sz w:val="20"/>
          <w:szCs w:val="20"/>
        </w:rPr>
      </w:pPr>
      <w:r w:rsidRPr="007A39B8">
        <w:rPr>
          <w:rFonts w:ascii="Arial" w:hAnsi="Arial" w:cs="Arial"/>
          <w:color w:val="000000"/>
          <w:sz w:val="20"/>
          <w:szCs w:val="20"/>
        </w:rPr>
        <w:t xml:space="preserve">e-mail: </w:t>
      </w:r>
      <w:hyperlink r:id="rId10" w:history="1">
        <w:r w:rsidR="002A3294" w:rsidRPr="007A39B8">
          <w:rPr>
            <w:rStyle w:val="Hypertextovodkaz"/>
            <w:rFonts w:ascii="Arial" w:hAnsi="Arial" w:cs="Arial"/>
            <w:sz w:val="20"/>
            <w:szCs w:val="20"/>
          </w:rPr>
          <w:t>kamila.zitnakova@crestcom.cz</w:t>
        </w:r>
      </w:hyperlink>
    </w:p>
    <w:p w14:paraId="0C9BF7BF" w14:textId="77777777" w:rsidR="002A3294" w:rsidRDefault="002A3294" w:rsidP="007A39B8">
      <w:pPr>
        <w:spacing w:after="0" w:line="264" w:lineRule="auto"/>
        <w:rPr>
          <w:rStyle w:val="Hypertextovodkaz"/>
          <w:rFonts w:ascii="Arial" w:hAnsi="Arial" w:cs="Arial"/>
          <w:color w:val="990033"/>
          <w:sz w:val="20"/>
          <w:szCs w:val="20"/>
        </w:rPr>
      </w:pPr>
    </w:p>
    <w:p w14:paraId="02B11144" w14:textId="77777777" w:rsidR="007A39B8" w:rsidRPr="007A39B8" w:rsidRDefault="007A39B8" w:rsidP="007A39B8">
      <w:pPr>
        <w:spacing w:after="0" w:line="264" w:lineRule="auto"/>
        <w:rPr>
          <w:rStyle w:val="Hypertextovodkaz"/>
          <w:rFonts w:ascii="Arial" w:hAnsi="Arial" w:cs="Arial"/>
          <w:color w:val="990033"/>
          <w:sz w:val="20"/>
          <w:szCs w:val="20"/>
        </w:rPr>
      </w:pPr>
    </w:p>
    <w:p w14:paraId="7DDF97E7" w14:textId="6C9F6855" w:rsidR="005A2DC0" w:rsidRPr="000516E7" w:rsidRDefault="000516E7" w:rsidP="000516E7">
      <w:pPr>
        <w:spacing w:after="0" w:line="264" w:lineRule="auto"/>
        <w:rPr>
          <w:rFonts w:ascii="Arial" w:hAnsi="Arial" w:cs="Arial"/>
          <w:sz w:val="20"/>
          <w:szCs w:val="20"/>
        </w:rPr>
      </w:pPr>
      <w:r>
        <w:rPr>
          <w:rFonts w:ascii="Arial" w:hAnsi="Arial" w:cs="Arial"/>
          <w:b/>
          <w:sz w:val="20"/>
          <w:szCs w:val="20"/>
        </w:rPr>
        <w:t>O společnosti TPA</w:t>
      </w:r>
      <w:r w:rsidR="00EB1C5A" w:rsidRPr="007A39B8">
        <w:rPr>
          <w:rFonts w:ascii="Arial" w:hAnsi="Arial" w:cs="Arial"/>
          <w:b/>
          <w:sz w:val="20"/>
          <w:szCs w:val="20"/>
        </w:rPr>
        <w:t>:</w:t>
      </w:r>
    </w:p>
    <w:p w14:paraId="05D36A23" w14:textId="35E684A8" w:rsidR="00EB1C5A" w:rsidRDefault="00EB1C5A" w:rsidP="007A39B8">
      <w:pPr>
        <w:pStyle w:val="F2-zkladn"/>
        <w:spacing w:before="0" w:line="264" w:lineRule="auto"/>
      </w:pPr>
      <w:r w:rsidRPr="007A39B8">
        <w:t xml:space="preserve">Skupina </w:t>
      </w:r>
      <w:r w:rsidRPr="007A39B8">
        <w:rPr>
          <w:b/>
        </w:rPr>
        <w:t>TPA Group</w:t>
      </w:r>
      <w:r w:rsidRPr="007A39B8">
        <w:t xml:space="preserve"> poskytuje v České republice své služby od roku </w:t>
      </w:r>
      <w:smartTag w:uri="urn:schemas-microsoft-com:office:smarttags" w:element="metricconverter">
        <w:smartTagPr>
          <w:attr w:name="ProductID" w:val="1993 a"/>
        </w:smartTagPr>
        <w:r w:rsidRPr="007A39B8">
          <w:t>1993 a</w:t>
        </w:r>
      </w:smartTag>
      <w:r w:rsidRPr="007A39B8">
        <w:t xml:space="preserve"> působí celkem v</w:t>
      </w:r>
      <w:r w:rsidR="00483CC4" w:rsidRPr="007A39B8">
        <w:t>e dvanácti</w:t>
      </w:r>
      <w:r w:rsidRPr="007A39B8">
        <w:t xml:space="preserve"> zemích střední a jihovýchodní Evropy. </w:t>
      </w:r>
      <w:r w:rsidR="009B0DF4" w:rsidRPr="007A39B8">
        <w:t>Poskytuje služby zejména v oblastech daňov</w:t>
      </w:r>
      <w:r w:rsidR="00200DBF">
        <w:t>ého</w:t>
      </w:r>
      <w:r w:rsidR="009B0DF4" w:rsidRPr="007A39B8">
        <w:t xml:space="preserve"> poradenství, vedení účetnictví, auditu, oceňování a poradenství při akvizicích. </w:t>
      </w:r>
      <w:r w:rsidRPr="007A39B8">
        <w:t xml:space="preserve"> Zaměřuje se především na korporátní klienty podnikající na mezinárodní úrovni v oblasti střední a jihovýchodní Evropy. Skupina TPA Group je nezávislým členem aliance</w:t>
      </w:r>
      <w:r w:rsidRPr="007A39B8">
        <w:rPr>
          <w:b/>
        </w:rPr>
        <w:t xml:space="preserve"> Baker Tilly Europe Alliance</w:t>
      </w:r>
      <w:r w:rsidRPr="007A39B8">
        <w:t xml:space="preserve">, jejímiž dalšími členy je celosvětová poradenská síť </w:t>
      </w:r>
      <w:hyperlink r:id="rId11" w:history="1">
        <w:r w:rsidRPr="007A39B8">
          <w:rPr>
            <w:rStyle w:val="Hypertextovodkaz"/>
            <w:b/>
          </w:rPr>
          <w:t>Baker Tilly International</w:t>
        </w:r>
      </w:hyperlink>
      <w:r w:rsidRPr="007A39B8">
        <w:t xml:space="preserve"> a samostatný člen Baker Tilly International, </w:t>
      </w:r>
      <w:hyperlink r:id="rId12" w:history="1">
        <w:r w:rsidR="00433B9A" w:rsidRPr="007A39B8">
          <w:rPr>
            <w:rStyle w:val="Hypertextovodkaz"/>
            <w:b/>
          </w:rPr>
          <w:t>Baker Tilly</w:t>
        </w:r>
      </w:hyperlink>
      <w:r w:rsidRPr="007A39B8">
        <w:t xml:space="preserve"> v Německu. Díky členství v Baker Tilly Europe Allience nabízí skupina TPA Group svým klientům služby globální sítě Baker Tilly International, která patří do první desítky celosvětových poradenských sítí. </w:t>
      </w:r>
    </w:p>
    <w:p w14:paraId="24B4D0B6" w14:textId="77777777" w:rsidR="00BA2004" w:rsidRPr="007A39B8" w:rsidRDefault="00BA2004" w:rsidP="007A39B8">
      <w:pPr>
        <w:pStyle w:val="F2-zkladn"/>
        <w:spacing w:before="0" w:line="264" w:lineRule="auto"/>
      </w:pPr>
    </w:p>
    <w:p w14:paraId="1A9B85E0" w14:textId="01DD576C" w:rsidR="001272D9" w:rsidRDefault="001272D9"/>
    <w:sectPr w:rsidR="001272D9" w:rsidSect="00FD070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17" w:right="1417" w:bottom="1417" w:left="1417" w:header="16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7EEE" w14:textId="77777777" w:rsidR="006B254C" w:rsidRDefault="006B254C" w:rsidP="00087B0F">
      <w:pPr>
        <w:spacing w:after="0" w:line="240" w:lineRule="auto"/>
      </w:pPr>
      <w:r>
        <w:separator/>
      </w:r>
    </w:p>
  </w:endnote>
  <w:endnote w:type="continuationSeparator" w:id="0">
    <w:p w14:paraId="4FC14906" w14:textId="77777777" w:rsidR="006B254C" w:rsidRDefault="006B254C" w:rsidP="0008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C443" w14:textId="77777777" w:rsidR="00A71FE0" w:rsidRDefault="00A71F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5DD5" w14:textId="77777777" w:rsidR="00A71FE0" w:rsidRDefault="00A71FE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939D" w14:textId="77777777" w:rsidR="00A71FE0" w:rsidRDefault="00A71F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8585" w14:textId="77777777" w:rsidR="006B254C" w:rsidRDefault="006B254C" w:rsidP="00087B0F">
      <w:pPr>
        <w:spacing w:after="0" w:line="240" w:lineRule="auto"/>
      </w:pPr>
      <w:r>
        <w:separator/>
      </w:r>
    </w:p>
  </w:footnote>
  <w:footnote w:type="continuationSeparator" w:id="0">
    <w:p w14:paraId="6AF5C919" w14:textId="77777777" w:rsidR="006B254C" w:rsidRDefault="006B254C" w:rsidP="0008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97B2" w14:textId="77777777" w:rsidR="00A71FE0" w:rsidRDefault="00A71F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D380" w14:textId="77777777" w:rsidR="00704800" w:rsidRDefault="004432AB">
    <w:pPr>
      <w:pStyle w:val="Zhlav"/>
    </w:pPr>
    <w:r>
      <w:rPr>
        <w:noProof/>
        <w:lang w:eastAsia="cs-CZ"/>
      </w:rPr>
      <w:drawing>
        <wp:anchor distT="0" distB="0" distL="114300" distR="114300" simplePos="0" relativeHeight="251657728" behindDoc="0" locked="0" layoutInCell="1" allowOverlap="1" wp14:anchorId="07FBAF7B" wp14:editId="5D87AFFD">
          <wp:simplePos x="0" y="0"/>
          <wp:positionH relativeFrom="margin">
            <wp:posOffset>4303395</wp:posOffset>
          </wp:positionH>
          <wp:positionV relativeFrom="margin">
            <wp:posOffset>-1171575</wp:posOffset>
          </wp:positionV>
          <wp:extent cx="1490980" cy="110998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1109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BE73" w14:textId="77777777" w:rsidR="00A71FE0" w:rsidRDefault="00A71FE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0F"/>
    <w:rsid w:val="00005EC4"/>
    <w:rsid w:val="00021254"/>
    <w:rsid w:val="00024EB1"/>
    <w:rsid w:val="00034EAB"/>
    <w:rsid w:val="000474F2"/>
    <w:rsid w:val="0005087E"/>
    <w:rsid w:val="000516E7"/>
    <w:rsid w:val="00056127"/>
    <w:rsid w:val="00056B71"/>
    <w:rsid w:val="00063FCD"/>
    <w:rsid w:val="00065420"/>
    <w:rsid w:val="00066FB2"/>
    <w:rsid w:val="00072CA9"/>
    <w:rsid w:val="00087B0F"/>
    <w:rsid w:val="000A2475"/>
    <w:rsid w:val="000A2944"/>
    <w:rsid w:val="000B1F52"/>
    <w:rsid w:val="000E0603"/>
    <w:rsid w:val="000F648D"/>
    <w:rsid w:val="0012598B"/>
    <w:rsid w:val="001272D9"/>
    <w:rsid w:val="001349D3"/>
    <w:rsid w:val="00147AAD"/>
    <w:rsid w:val="001514D6"/>
    <w:rsid w:val="001643CE"/>
    <w:rsid w:val="001665B3"/>
    <w:rsid w:val="00182EBE"/>
    <w:rsid w:val="001833EC"/>
    <w:rsid w:val="00190F27"/>
    <w:rsid w:val="001B248E"/>
    <w:rsid w:val="001C0CE4"/>
    <w:rsid w:val="001E27EA"/>
    <w:rsid w:val="001E3C6B"/>
    <w:rsid w:val="001F387C"/>
    <w:rsid w:val="001F501D"/>
    <w:rsid w:val="00200DBF"/>
    <w:rsid w:val="0020544F"/>
    <w:rsid w:val="002212EA"/>
    <w:rsid w:val="0022496F"/>
    <w:rsid w:val="00232D8F"/>
    <w:rsid w:val="00235BCD"/>
    <w:rsid w:val="0024364D"/>
    <w:rsid w:val="002467AC"/>
    <w:rsid w:val="002468A7"/>
    <w:rsid w:val="0025133B"/>
    <w:rsid w:val="0027105E"/>
    <w:rsid w:val="002948D0"/>
    <w:rsid w:val="002A3294"/>
    <w:rsid w:val="002A7D37"/>
    <w:rsid w:val="002B5F47"/>
    <w:rsid w:val="002D345D"/>
    <w:rsid w:val="002D4C48"/>
    <w:rsid w:val="002E39E1"/>
    <w:rsid w:val="00302ABC"/>
    <w:rsid w:val="0030704F"/>
    <w:rsid w:val="00307EBA"/>
    <w:rsid w:val="003143B9"/>
    <w:rsid w:val="003164A3"/>
    <w:rsid w:val="00316D20"/>
    <w:rsid w:val="0032161F"/>
    <w:rsid w:val="003275FA"/>
    <w:rsid w:val="003371D5"/>
    <w:rsid w:val="003749FA"/>
    <w:rsid w:val="003808D9"/>
    <w:rsid w:val="00381597"/>
    <w:rsid w:val="00385385"/>
    <w:rsid w:val="003916F2"/>
    <w:rsid w:val="003B5AE8"/>
    <w:rsid w:val="003D2C74"/>
    <w:rsid w:val="003D33AF"/>
    <w:rsid w:val="003D5F96"/>
    <w:rsid w:val="004010C0"/>
    <w:rsid w:val="00410BBE"/>
    <w:rsid w:val="00414BA1"/>
    <w:rsid w:val="00415AAB"/>
    <w:rsid w:val="004321DB"/>
    <w:rsid w:val="00433144"/>
    <w:rsid w:val="00433B9A"/>
    <w:rsid w:val="004432AB"/>
    <w:rsid w:val="0044506B"/>
    <w:rsid w:val="0046142A"/>
    <w:rsid w:val="00466635"/>
    <w:rsid w:val="00474216"/>
    <w:rsid w:val="00483CC4"/>
    <w:rsid w:val="00490F1B"/>
    <w:rsid w:val="00494A82"/>
    <w:rsid w:val="00494B40"/>
    <w:rsid w:val="00494D1A"/>
    <w:rsid w:val="004C261B"/>
    <w:rsid w:val="004D4BBC"/>
    <w:rsid w:val="004E2B60"/>
    <w:rsid w:val="004F1F03"/>
    <w:rsid w:val="004F326F"/>
    <w:rsid w:val="00503112"/>
    <w:rsid w:val="0051646C"/>
    <w:rsid w:val="005318CD"/>
    <w:rsid w:val="0053615C"/>
    <w:rsid w:val="00544EA3"/>
    <w:rsid w:val="005500FE"/>
    <w:rsid w:val="005601E7"/>
    <w:rsid w:val="005744B2"/>
    <w:rsid w:val="00590F8E"/>
    <w:rsid w:val="00596EFE"/>
    <w:rsid w:val="005A2487"/>
    <w:rsid w:val="005A2DC0"/>
    <w:rsid w:val="005D6140"/>
    <w:rsid w:val="005E16B6"/>
    <w:rsid w:val="006271A1"/>
    <w:rsid w:val="00643279"/>
    <w:rsid w:val="00643BFA"/>
    <w:rsid w:val="00650005"/>
    <w:rsid w:val="0065541F"/>
    <w:rsid w:val="00667056"/>
    <w:rsid w:val="00677F43"/>
    <w:rsid w:val="006A65B5"/>
    <w:rsid w:val="006A7542"/>
    <w:rsid w:val="006B254C"/>
    <w:rsid w:val="006B531A"/>
    <w:rsid w:val="006D4648"/>
    <w:rsid w:val="006D468D"/>
    <w:rsid w:val="006D4B45"/>
    <w:rsid w:val="006E6C5B"/>
    <w:rsid w:val="006F39F5"/>
    <w:rsid w:val="00704800"/>
    <w:rsid w:val="00707ED2"/>
    <w:rsid w:val="0071272D"/>
    <w:rsid w:val="0072472B"/>
    <w:rsid w:val="00726CDA"/>
    <w:rsid w:val="00732B15"/>
    <w:rsid w:val="00734F7E"/>
    <w:rsid w:val="007357E4"/>
    <w:rsid w:val="00735B2F"/>
    <w:rsid w:val="00742833"/>
    <w:rsid w:val="0075184E"/>
    <w:rsid w:val="00756665"/>
    <w:rsid w:val="00764026"/>
    <w:rsid w:val="007672E8"/>
    <w:rsid w:val="00781DCE"/>
    <w:rsid w:val="00784698"/>
    <w:rsid w:val="00792360"/>
    <w:rsid w:val="007A39B8"/>
    <w:rsid w:val="007B4CB7"/>
    <w:rsid w:val="007B5B26"/>
    <w:rsid w:val="007B5F1E"/>
    <w:rsid w:val="007C2CD7"/>
    <w:rsid w:val="007C65E0"/>
    <w:rsid w:val="007C74F1"/>
    <w:rsid w:val="007D4CFC"/>
    <w:rsid w:val="007E1A19"/>
    <w:rsid w:val="00820498"/>
    <w:rsid w:val="00820D1C"/>
    <w:rsid w:val="00853EEE"/>
    <w:rsid w:val="00876906"/>
    <w:rsid w:val="008A6922"/>
    <w:rsid w:val="008B71E2"/>
    <w:rsid w:val="008C35C6"/>
    <w:rsid w:val="008D2CED"/>
    <w:rsid w:val="008D30B5"/>
    <w:rsid w:val="008E0CBB"/>
    <w:rsid w:val="008E4064"/>
    <w:rsid w:val="008E46AE"/>
    <w:rsid w:val="00900988"/>
    <w:rsid w:val="00911D3B"/>
    <w:rsid w:val="009149D3"/>
    <w:rsid w:val="009312EA"/>
    <w:rsid w:val="0094373B"/>
    <w:rsid w:val="009448BF"/>
    <w:rsid w:val="00965886"/>
    <w:rsid w:val="00965982"/>
    <w:rsid w:val="009674C3"/>
    <w:rsid w:val="00976D76"/>
    <w:rsid w:val="0097728F"/>
    <w:rsid w:val="0097794D"/>
    <w:rsid w:val="0099767A"/>
    <w:rsid w:val="00997BD4"/>
    <w:rsid w:val="009A0B16"/>
    <w:rsid w:val="009B0DF4"/>
    <w:rsid w:val="009D2482"/>
    <w:rsid w:val="009D26BA"/>
    <w:rsid w:val="009F5D62"/>
    <w:rsid w:val="009F6061"/>
    <w:rsid w:val="00A03AEB"/>
    <w:rsid w:val="00A05DF4"/>
    <w:rsid w:val="00A07020"/>
    <w:rsid w:val="00A33148"/>
    <w:rsid w:val="00A5076E"/>
    <w:rsid w:val="00A65780"/>
    <w:rsid w:val="00A71FE0"/>
    <w:rsid w:val="00A74319"/>
    <w:rsid w:val="00A75C98"/>
    <w:rsid w:val="00A75E11"/>
    <w:rsid w:val="00A77597"/>
    <w:rsid w:val="00AA1EC4"/>
    <w:rsid w:val="00AA2DB4"/>
    <w:rsid w:val="00AD0D2A"/>
    <w:rsid w:val="00AD6570"/>
    <w:rsid w:val="00AE3FEF"/>
    <w:rsid w:val="00AF63E5"/>
    <w:rsid w:val="00B121F9"/>
    <w:rsid w:val="00B362B0"/>
    <w:rsid w:val="00B3732A"/>
    <w:rsid w:val="00B47281"/>
    <w:rsid w:val="00B5103D"/>
    <w:rsid w:val="00B66D84"/>
    <w:rsid w:val="00B84FD0"/>
    <w:rsid w:val="00BA2004"/>
    <w:rsid w:val="00BA7058"/>
    <w:rsid w:val="00BB2F4F"/>
    <w:rsid w:val="00BC4A3D"/>
    <w:rsid w:val="00BC4BF4"/>
    <w:rsid w:val="00BD2839"/>
    <w:rsid w:val="00BE16A9"/>
    <w:rsid w:val="00BF343C"/>
    <w:rsid w:val="00BF7D01"/>
    <w:rsid w:val="00BF7EDF"/>
    <w:rsid w:val="00C012A6"/>
    <w:rsid w:val="00C025F1"/>
    <w:rsid w:val="00C27561"/>
    <w:rsid w:val="00C328B8"/>
    <w:rsid w:val="00C43F8F"/>
    <w:rsid w:val="00C64D57"/>
    <w:rsid w:val="00C92F96"/>
    <w:rsid w:val="00CA237E"/>
    <w:rsid w:val="00CB1852"/>
    <w:rsid w:val="00CB5D30"/>
    <w:rsid w:val="00CC1656"/>
    <w:rsid w:val="00CD0F82"/>
    <w:rsid w:val="00CD249C"/>
    <w:rsid w:val="00D01576"/>
    <w:rsid w:val="00D04011"/>
    <w:rsid w:val="00D05BA1"/>
    <w:rsid w:val="00D23939"/>
    <w:rsid w:val="00D26944"/>
    <w:rsid w:val="00D4284D"/>
    <w:rsid w:val="00D46539"/>
    <w:rsid w:val="00D579C4"/>
    <w:rsid w:val="00D67270"/>
    <w:rsid w:val="00D72C84"/>
    <w:rsid w:val="00D73B92"/>
    <w:rsid w:val="00D74683"/>
    <w:rsid w:val="00D93651"/>
    <w:rsid w:val="00DA18DA"/>
    <w:rsid w:val="00DB44AD"/>
    <w:rsid w:val="00DB6D1B"/>
    <w:rsid w:val="00DC0782"/>
    <w:rsid w:val="00DC112F"/>
    <w:rsid w:val="00DC66EC"/>
    <w:rsid w:val="00DD06BF"/>
    <w:rsid w:val="00DD5E40"/>
    <w:rsid w:val="00DF5919"/>
    <w:rsid w:val="00DF7E3A"/>
    <w:rsid w:val="00E20A11"/>
    <w:rsid w:val="00E30CAC"/>
    <w:rsid w:val="00E62DFE"/>
    <w:rsid w:val="00E9566A"/>
    <w:rsid w:val="00E97493"/>
    <w:rsid w:val="00EA436F"/>
    <w:rsid w:val="00EB1C5A"/>
    <w:rsid w:val="00ED4CF4"/>
    <w:rsid w:val="00EE18BA"/>
    <w:rsid w:val="00F00E13"/>
    <w:rsid w:val="00F04685"/>
    <w:rsid w:val="00F230EE"/>
    <w:rsid w:val="00F267C3"/>
    <w:rsid w:val="00F272AB"/>
    <w:rsid w:val="00F32BD2"/>
    <w:rsid w:val="00F36A0A"/>
    <w:rsid w:val="00F41FA0"/>
    <w:rsid w:val="00F80911"/>
    <w:rsid w:val="00FC081F"/>
    <w:rsid w:val="00FD0701"/>
    <w:rsid w:val="00FE255D"/>
    <w:rsid w:val="00FE3F7E"/>
    <w:rsid w:val="00FF47A3"/>
    <w:rsid w:val="0239750A"/>
    <w:rsid w:val="024FA9DA"/>
    <w:rsid w:val="026A6F84"/>
    <w:rsid w:val="02C5C4BA"/>
    <w:rsid w:val="039DD79F"/>
    <w:rsid w:val="03CB2327"/>
    <w:rsid w:val="04063FE5"/>
    <w:rsid w:val="044554D7"/>
    <w:rsid w:val="061501E2"/>
    <w:rsid w:val="06AE04F5"/>
    <w:rsid w:val="06D76539"/>
    <w:rsid w:val="06DC7D90"/>
    <w:rsid w:val="0702C3E9"/>
    <w:rsid w:val="07130723"/>
    <w:rsid w:val="08049A85"/>
    <w:rsid w:val="0A046E03"/>
    <w:rsid w:val="0A516C91"/>
    <w:rsid w:val="0A56F19F"/>
    <w:rsid w:val="0B427BBE"/>
    <w:rsid w:val="0C2C7BDA"/>
    <w:rsid w:val="0CF067FA"/>
    <w:rsid w:val="0D23EB31"/>
    <w:rsid w:val="0D85A985"/>
    <w:rsid w:val="0D890D53"/>
    <w:rsid w:val="0D8E9261"/>
    <w:rsid w:val="0DA10B06"/>
    <w:rsid w:val="0DB0DAD7"/>
    <w:rsid w:val="0F24DDB4"/>
    <w:rsid w:val="11323DC9"/>
    <w:rsid w:val="11C053D4"/>
    <w:rsid w:val="11E3B63F"/>
    <w:rsid w:val="133C96C0"/>
    <w:rsid w:val="137F86A0"/>
    <w:rsid w:val="13F663EB"/>
    <w:rsid w:val="14920391"/>
    <w:rsid w:val="1498C807"/>
    <w:rsid w:val="149E408F"/>
    <w:rsid w:val="151B5701"/>
    <w:rsid w:val="158504D8"/>
    <w:rsid w:val="15861CC3"/>
    <w:rsid w:val="1597C8AE"/>
    <w:rsid w:val="15CB354F"/>
    <w:rsid w:val="1619BCF7"/>
    <w:rsid w:val="1624654F"/>
    <w:rsid w:val="16B72762"/>
    <w:rsid w:val="17925970"/>
    <w:rsid w:val="1A09D6B1"/>
    <w:rsid w:val="1CFD05CD"/>
    <w:rsid w:val="1E91ED59"/>
    <w:rsid w:val="1FCF06F6"/>
    <w:rsid w:val="20676E1F"/>
    <w:rsid w:val="2081DB9E"/>
    <w:rsid w:val="213A9D77"/>
    <w:rsid w:val="21B6F183"/>
    <w:rsid w:val="21D220E9"/>
    <w:rsid w:val="2559AC75"/>
    <w:rsid w:val="25D060C8"/>
    <w:rsid w:val="25E70183"/>
    <w:rsid w:val="269E9D6D"/>
    <w:rsid w:val="26F0473F"/>
    <w:rsid w:val="27B88392"/>
    <w:rsid w:val="2808C856"/>
    <w:rsid w:val="28468436"/>
    <w:rsid w:val="2A27E801"/>
    <w:rsid w:val="2AB0D8C5"/>
    <w:rsid w:val="2BA37ED6"/>
    <w:rsid w:val="2BC3B862"/>
    <w:rsid w:val="2BCA5C77"/>
    <w:rsid w:val="2D3F4F37"/>
    <w:rsid w:val="2DF35B6A"/>
    <w:rsid w:val="2EBA6F57"/>
    <w:rsid w:val="2F90391C"/>
    <w:rsid w:val="3211BBAF"/>
    <w:rsid w:val="33576D49"/>
    <w:rsid w:val="338F62FE"/>
    <w:rsid w:val="368BE702"/>
    <w:rsid w:val="36C5D1A3"/>
    <w:rsid w:val="37EA4696"/>
    <w:rsid w:val="37F82A2B"/>
    <w:rsid w:val="3827B763"/>
    <w:rsid w:val="383903CB"/>
    <w:rsid w:val="38785213"/>
    <w:rsid w:val="39DA8FAA"/>
    <w:rsid w:val="3AC8D2A1"/>
    <w:rsid w:val="3DB991FF"/>
    <w:rsid w:val="3F2C8302"/>
    <w:rsid w:val="3F9D8B55"/>
    <w:rsid w:val="40E08CF3"/>
    <w:rsid w:val="41D101FA"/>
    <w:rsid w:val="423EC8DD"/>
    <w:rsid w:val="42F2394B"/>
    <w:rsid w:val="4301EB23"/>
    <w:rsid w:val="435F4054"/>
    <w:rsid w:val="43D3917C"/>
    <w:rsid w:val="449DBB84"/>
    <w:rsid w:val="456239FE"/>
    <w:rsid w:val="45A79B91"/>
    <w:rsid w:val="48A55F41"/>
    <w:rsid w:val="4AC1D451"/>
    <w:rsid w:val="4BE28462"/>
    <w:rsid w:val="4D4FA171"/>
    <w:rsid w:val="4E71413D"/>
    <w:rsid w:val="4F582A0F"/>
    <w:rsid w:val="50519165"/>
    <w:rsid w:val="507DE2B2"/>
    <w:rsid w:val="509F80CC"/>
    <w:rsid w:val="50B2ABFC"/>
    <w:rsid w:val="5184E352"/>
    <w:rsid w:val="5219B313"/>
    <w:rsid w:val="5239B5B1"/>
    <w:rsid w:val="52E14C6A"/>
    <w:rsid w:val="5365FA19"/>
    <w:rsid w:val="54C14231"/>
    <w:rsid w:val="55517EB9"/>
    <w:rsid w:val="57025B1C"/>
    <w:rsid w:val="574DCD63"/>
    <w:rsid w:val="58803E62"/>
    <w:rsid w:val="5948F6BA"/>
    <w:rsid w:val="595CF70E"/>
    <w:rsid w:val="59BEF68A"/>
    <w:rsid w:val="5B0BF1AE"/>
    <w:rsid w:val="5C12BFD7"/>
    <w:rsid w:val="5CF2FB64"/>
    <w:rsid w:val="5DABD8EA"/>
    <w:rsid w:val="5DDCD4EF"/>
    <w:rsid w:val="5F22C876"/>
    <w:rsid w:val="5F4262A1"/>
    <w:rsid w:val="5F96C9E2"/>
    <w:rsid w:val="603620A7"/>
    <w:rsid w:val="614198F8"/>
    <w:rsid w:val="616E8CBA"/>
    <w:rsid w:val="625BE913"/>
    <w:rsid w:val="6716E0B7"/>
    <w:rsid w:val="68B2B118"/>
    <w:rsid w:val="69249BAF"/>
    <w:rsid w:val="69338280"/>
    <w:rsid w:val="6AC5F9FD"/>
    <w:rsid w:val="6AE677CF"/>
    <w:rsid w:val="6BD301EF"/>
    <w:rsid w:val="6BD7B542"/>
    <w:rsid w:val="6C9011C9"/>
    <w:rsid w:val="6CBDCFBB"/>
    <w:rsid w:val="6D1443EB"/>
    <w:rsid w:val="6D44F48A"/>
    <w:rsid w:val="6E1A5989"/>
    <w:rsid w:val="6EDA87A2"/>
    <w:rsid w:val="6F1B5F1C"/>
    <w:rsid w:val="714D0E33"/>
    <w:rsid w:val="7340AE06"/>
    <w:rsid w:val="74A41C1E"/>
    <w:rsid w:val="74F16EB6"/>
    <w:rsid w:val="75780BC3"/>
    <w:rsid w:val="75C757B5"/>
    <w:rsid w:val="76A26285"/>
    <w:rsid w:val="77751B1B"/>
    <w:rsid w:val="77E7BF1A"/>
    <w:rsid w:val="789DD256"/>
    <w:rsid w:val="7A56B738"/>
    <w:rsid w:val="7A9EC4E7"/>
    <w:rsid w:val="7B3394A8"/>
    <w:rsid w:val="7B72F05E"/>
    <w:rsid w:val="7C13742E"/>
    <w:rsid w:val="7C25CE9C"/>
    <w:rsid w:val="7DA8AFEC"/>
    <w:rsid w:val="7EEC21A4"/>
    <w:rsid w:val="7EF7B203"/>
    <w:rsid w:val="7FA497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48A7B5"/>
  <w15:chartTrackingRefBased/>
  <w15:docId w15:val="{CB94C65A-AEAA-42C2-B1E6-20340A8E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7B0F"/>
    <w:pPr>
      <w:tabs>
        <w:tab w:val="center" w:pos="4536"/>
        <w:tab w:val="right" w:pos="9072"/>
      </w:tabs>
    </w:pPr>
  </w:style>
  <w:style w:type="character" w:customStyle="1" w:styleId="ZhlavChar">
    <w:name w:val="Záhlaví Char"/>
    <w:link w:val="Zhlav"/>
    <w:uiPriority w:val="99"/>
    <w:rsid w:val="00087B0F"/>
    <w:rPr>
      <w:sz w:val="22"/>
      <w:szCs w:val="22"/>
      <w:lang w:eastAsia="en-US"/>
    </w:rPr>
  </w:style>
  <w:style w:type="paragraph" w:styleId="Zpat">
    <w:name w:val="footer"/>
    <w:basedOn w:val="Normln"/>
    <w:link w:val="ZpatChar"/>
    <w:uiPriority w:val="99"/>
    <w:unhideWhenUsed/>
    <w:rsid w:val="00087B0F"/>
    <w:pPr>
      <w:tabs>
        <w:tab w:val="center" w:pos="4536"/>
        <w:tab w:val="right" w:pos="9072"/>
      </w:tabs>
    </w:pPr>
  </w:style>
  <w:style w:type="character" w:customStyle="1" w:styleId="ZpatChar">
    <w:name w:val="Zápatí Char"/>
    <w:link w:val="Zpat"/>
    <w:uiPriority w:val="99"/>
    <w:rsid w:val="00087B0F"/>
    <w:rPr>
      <w:sz w:val="22"/>
      <w:szCs w:val="22"/>
      <w:lang w:eastAsia="en-US"/>
    </w:rPr>
  </w:style>
  <w:style w:type="paragraph" w:customStyle="1" w:styleId="F2-zkladn">
    <w:name w:val="F2 - základní"/>
    <w:link w:val="F2-zkladnCharChar"/>
    <w:rsid w:val="00EB1C5A"/>
    <w:pPr>
      <w:spacing w:before="240" w:line="300" w:lineRule="exact"/>
      <w:jc w:val="both"/>
    </w:pPr>
    <w:rPr>
      <w:rFonts w:ascii="Arial" w:eastAsia="Times New Roman" w:hAnsi="Arial" w:cs="Arial"/>
      <w:lang w:eastAsia="cs-CZ"/>
    </w:rPr>
  </w:style>
  <w:style w:type="character" w:styleId="Hypertextovodkaz">
    <w:name w:val="Hyperlink"/>
    <w:semiHidden/>
    <w:rsid w:val="00EB1C5A"/>
    <w:rPr>
      <w:color w:val="0000FF"/>
      <w:u w:val="single"/>
    </w:rPr>
  </w:style>
  <w:style w:type="character" w:customStyle="1" w:styleId="F2-zkladnCharChar">
    <w:name w:val="F2 - základní Char Char"/>
    <w:link w:val="F2-zkladn"/>
    <w:rsid w:val="00EB1C5A"/>
    <w:rPr>
      <w:rFonts w:ascii="Arial" w:eastAsia="Times New Roman" w:hAnsi="Arial" w:cs="Arial"/>
    </w:rPr>
  </w:style>
  <w:style w:type="character" w:styleId="Odkaznakoment">
    <w:name w:val="annotation reference"/>
    <w:uiPriority w:val="99"/>
    <w:semiHidden/>
    <w:unhideWhenUsed/>
    <w:rsid w:val="00BC4A3D"/>
    <w:rPr>
      <w:sz w:val="16"/>
      <w:szCs w:val="16"/>
    </w:rPr>
  </w:style>
  <w:style w:type="paragraph" w:styleId="Textkomente">
    <w:name w:val="annotation text"/>
    <w:basedOn w:val="Normln"/>
    <w:link w:val="TextkomenteChar"/>
    <w:uiPriority w:val="99"/>
    <w:unhideWhenUsed/>
    <w:rsid w:val="00BC4A3D"/>
    <w:rPr>
      <w:sz w:val="20"/>
      <w:szCs w:val="20"/>
    </w:rPr>
  </w:style>
  <w:style w:type="character" w:customStyle="1" w:styleId="TextkomenteChar">
    <w:name w:val="Text komentáře Char"/>
    <w:link w:val="Textkomente"/>
    <w:uiPriority w:val="99"/>
    <w:rsid w:val="00BC4A3D"/>
    <w:rPr>
      <w:lang w:eastAsia="en-US"/>
    </w:rPr>
  </w:style>
  <w:style w:type="paragraph" w:styleId="Pedmtkomente">
    <w:name w:val="annotation subject"/>
    <w:basedOn w:val="Textkomente"/>
    <w:next w:val="Textkomente"/>
    <w:link w:val="PedmtkomenteChar"/>
    <w:uiPriority w:val="99"/>
    <w:semiHidden/>
    <w:unhideWhenUsed/>
    <w:rsid w:val="00BC4A3D"/>
    <w:rPr>
      <w:b/>
      <w:bCs/>
    </w:rPr>
  </w:style>
  <w:style w:type="character" w:customStyle="1" w:styleId="PedmtkomenteChar">
    <w:name w:val="Předmět komentáře Char"/>
    <w:link w:val="Pedmtkomente"/>
    <w:uiPriority w:val="99"/>
    <w:semiHidden/>
    <w:rsid w:val="00BC4A3D"/>
    <w:rPr>
      <w:b/>
      <w:bCs/>
      <w:lang w:eastAsia="en-US"/>
    </w:rPr>
  </w:style>
  <w:style w:type="paragraph" w:styleId="Textbubliny">
    <w:name w:val="Balloon Text"/>
    <w:basedOn w:val="Normln"/>
    <w:link w:val="TextbublinyChar"/>
    <w:uiPriority w:val="99"/>
    <w:semiHidden/>
    <w:unhideWhenUsed/>
    <w:rsid w:val="00BC4A3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BC4A3D"/>
    <w:rPr>
      <w:rFonts w:ascii="Segoe UI" w:hAnsi="Segoe UI" w:cs="Segoe UI"/>
      <w:sz w:val="18"/>
      <w:szCs w:val="18"/>
      <w:lang w:eastAsia="en-US"/>
    </w:rPr>
  </w:style>
  <w:style w:type="paragraph" w:styleId="Revize">
    <w:name w:val="Revision"/>
    <w:hidden/>
    <w:uiPriority w:val="99"/>
    <w:semiHidden/>
    <w:rsid w:val="00BC4A3D"/>
    <w:rPr>
      <w:sz w:val="22"/>
      <w:szCs w:val="22"/>
      <w:lang w:eastAsia="en-US"/>
    </w:rPr>
  </w:style>
  <w:style w:type="paragraph" w:customStyle="1" w:styleId="Default">
    <w:name w:val="Default"/>
    <w:rsid w:val="00024EB1"/>
    <w:pPr>
      <w:autoSpaceDE w:val="0"/>
      <w:autoSpaceDN w:val="0"/>
      <w:adjustRightInd w:val="0"/>
    </w:pPr>
    <w:rPr>
      <w:rFonts w:ascii="Arial" w:eastAsiaTheme="minorHAnsi" w:hAnsi="Arial" w:cs="Arial"/>
      <w:color w:val="000000"/>
      <w:sz w:val="24"/>
      <w:szCs w:val="24"/>
      <w:lang w:eastAsia="en-US"/>
    </w:rPr>
  </w:style>
  <w:style w:type="paragraph" w:styleId="Textvysvtlivek">
    <w:name w:val="endnote text"/>
    <w:basedOn w:val="Normln"/>
    <w:link w:val="TextvysvtlivekChar"/>
    <w:uiPriority w:val="99"/>
    <w:semiHidden/>
    <w:unhideWhenUsed/>
    <w:rsid w:val="002468A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2468A7"/>
    <w:rPr>
      <w:lang w:eastAsia="en-US"/>
    </w:rPr>
  </w:style>
  <w:style w:type="character" w:styleId="Odkaznavysvtlivky">
    <w:name w:val="endnote reference"/>
    <w:basedOn w:val="Standardnpsmoodstavce"/>
    <w:uiPriority w:val="99"/>
    <w:semiHidden/>
    <w:unhideWhenUsed/>
    <w:rsid w:val="002468A7"/>
    <w:rPr>
      <w:vertAlign w:val="superscript"/>
    </w:rPr>
  </w:style>
  <w:style w:type="paragraph" w:styleId="Textpoznpodarou">
    <w:name w:val="footnote text"/>
    <w:basedOn w:val="Normln"/>
    <w:link w:val="TextpoznpodarouChar"/>
    <w:uiPriority w:val="99"/>
    <w:semiHidden/>
    <w:unhideWhenUsed/>
    <w:rsid w:val="006B53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531A"/>
    <w:rPr>
      <w:lang w:eastAsia="en-US"/>
    </w:rPr>
  </w:style>
  <w:style w:type="character" w:styleId="Znakapoznpodarou">
    <w:name w:val="footnote reference"/>
    <w:basedOn w:val="Standardnpsmoodstavce"/>
    <w:uiPriority w:val="99"/>
    <w:semiHidden/>
    <w:unhideWhenUsed/>
    <w:rsid w:val="006B531A"/>
    <w:rPr>
      <w:vertAlign w:val="superscript"/>
    </w:rPr>
  </w:style>
  <w:style w:type="character" w:styleId="Nevyeenzmnka">
    <w:name w:val="Unresolved Mention"/>
    <w:basedOn w:val="Standardnpsmoodstavce"/>
    <w:uiPriority w:val="99"/>
    <w:semiHidden/>
    <w:unhideWhenUsed/>
    <w:rsid w:val="002A3294"/>
    <w:rPr>
      <w:color w:val="605E5C"/>
      <w:shd w:val="clear" w:color="auto" w:fill="E1DFDD"/>
    </w:rPr>
  </w:style>
  <w:style w:type="paragraph" w:styleId="Normlnweb">
    <w:name w:val="Normal (Web)"/>
    <w:basedOn w:val="Normln"/>
    <w:uiPriority w:val="99"/>
    <w:semiHidden/>
    <w:unhideWhenUsed/>
    <w:rsid w:val="00ED4CF4"/>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880">
      <w:bodyDiv w:val="1"/>
      <w:marLeft w:val="0"/>
      <w:marRight w:val="0"/>
      <w:marTop w:val="0"/>
      <w:marBottom w:val="0"/>
      <w:divBdr>
        <w:top w:val="none" w:sz="0" w:space="0" w:color="auto"/>
        <w:left w:val="none" w:sz="0" w:space="0" w:color="auto"/>
        <w:bottom w:val="none" w:sz="0" w:space="0" w:color="auto"/>
        <w:right w:val="none" w:sz="0" w:space="0" w:color="auto"/>
      </w:divBdr>
    </w:div>
    <w:div w:id="58289220">
      <w:bodyDiv w:val="1"/>
      <w:marLeft w:val="0"/>
      <w:marRight w:val="0"/>
      <w:marTop w:val="0"/>
      <w:marBottom w:val="0"/>
      <w:divBdr>
        <w:top w:val="none" w:sz="0" w:space="0" w:color="auto"/>
        <w:left w:val="none" w:sz="0" w:space="0" w:color="auto"/>
        <w:bottom w:val="none" w:sz="0" w:space="0" w:color="auto"/>
        <w:right w:val="none" w:sz="0" w:space="0" w:color="auto"/>
      </w:divBdr>
    </w:div>
    <w:div w:id="72704477">
      <w:bodyDiv w:val="1"/>
      <w:marLeft w:val="0"/>
      <w:marRight w:val="0"/>
      <w:marTop w:val="0"/>
      <w:marBottom w:val="0"/>
      <w:divBdr>
        <w:top w:val="none" w:sz="0" w:space="0" w:color="auto"/>
        <w:left w:val="none" w:sz="0" w:space="0" w:color="auto"/>
        <w:bottom w:val="none" w:sz="0" w:space="0" w:color="auto"/>
        <w:right w:val="none" w:sz="0" w:space="0" w:color="auto"/>
      </w:divBdr>
    </w:div>
    <w:div w:id="460193796">
      <w:bodyDiv w:val="1"/>
      <w:marLeft w:val="0"/>
      <w:marRight w:val="0"/>
      <w:marTop w:val="0"/>
      <w:marBottom w:val="0"/>
      <w:divBdr>
        <w:top w:val="none" w:sz="0" w:space="0" w:color="auto"/>
        <w:left w:val="none" w:sz="0" w:space="0" w:color="auto"/>
        <w:bottom w:val="none" w:sz="0" w:space="0" w:color="auto"/>
        <w:right w:val="none" w:sz="0" w:space="0" w:color="auto"/>
      </w:divBdr>
    </w:div>
    <w:div w:id="549270150">
      <w:bodyDiv w:val="1"/>
      <w:marLeft w:val="0"/>
      <w:marRight w:val="0"/>
      <w:marTop w:val="0"/>
      <w:marBottom w:val="0"/>
      <w:divBdr>
        <w:top w:val="none" w:sz="0" w:space="0" w:color="auto"/>
        <w:left w:val="none" w:sz="0" w:space="0" w:color="auto"/>
        <w:bottom w:val="none" w:sz="0" w:space="0" w:color="auto"/>
        <w:right w:val="none" w:sz="0" w:space="0" w:color="auto"/>
      </w:divBdr>
    </w:div>
    <w:div w:id="910894313">
      <w:bodyDiv w:val="1"/>
      <w:marLeft w:val="0"/>
      <w:marRight w:val="0"/>
      <w:marTop w:val="0"/>
      <w:marBottom w:val="0"/>
      <w:divBdr>
        <w:top w:val="none" w:sz="0" w:space="0" w:color="auto"/>
        <w:left w:val="none" w:sz="0" w:space="0" w:color="auto"/>
        <w:bottom w:val="none" w:sz="0" w:space="0" w:color="auto"/>
        <w:right w:val="none" w:sz="0" w:space="0" w:color="auto"/>
      </w:divBdr>
    </w:div>
    <w:div w:id="1029524221">
      <w:bodyDiv w:val="1"/>
      <w:marLeft w:val="0"/>
      <w:marRight w:val="0"/>
      <w:marTop w:val="0"/>
      <w:marBottom w:val="0"/>
      <w:divBdr>
        <w:top w:val="none" w:sz="0" w:space="0" w:color="auto"/>
        <w:left w:val="none" w:sz="0" w:space="0" w:color="auto"/>
        <w:bottom w:val="none" w:sz="0" w:space="0" w:color="auto"/>
        <w:right w:val="none" w:sz="0" w:space="0" w:color="auto"/>
      </w:divBdr>
    </w:div>
    <w:div w:id="1078283639">
      <w:bodyDiv w:val="1"/>
      <w:marLeft w:val="0"/>
      <w:marRight w:val="0"/>
      <w:marTop w:val="0"/>
      <w:marBottom w:val="0"/>
      <w:divBdr>
        <w:top w:val="none" w:sz="0" w:space="0" w:color="auto"/>
        <w:left w:val="none" w:sz="0" w:space="0" w:color="auto"/>
        <w:bottom w:val="none" w:sz="0" w:space="0" w:color="auto"/>
        <w:right w:val="none" w:sz="0" w:space="0" w:color="auto"/>
      </w:divBdr>
    </w:div>
    <w:div w:id="1161581969">
      <w:bodyDiv w:val="1"/>
      <w:marLeft w:val="0"/>
      <w:marRight w:val="0"/>
      <w:marTop w:val="0"/>
      <w:marBottom w:val="0"/>
      <w:divBdr>
        <w:top w:val="none" w:sz="0" w:space="0" w:color="auto"/>
        <w:left w:val="none" w:sz="0" w:space="0" w:color="auto"/>
        <w:bottom w:val="none" w:sz="0" w:space="0" w:color="auto"/>
        <w:right w:val="none" w:sz="0" w:space="0" w:color="auto"/>
      </w:divBdr>
    </w:div>
    <w:div w:id="1363094334">
      <w:bodyDiv w:val="1"/>
      <w:marLeft w:val="0"/>
      <w:marRight w:val="0"/>
      <w:marTop w:val="0"/>
      <w:marBottom w:val="0"/>
      <w:divBdr>
        <w:top w:val="none" w:sz="0" w:space="0" w:color="auto"/>
        <w:left w:val="none" w:sz="0" w:space="0" w:color="auto"/>
        <w:bottom w:val="none" w:sz="0" w:space="0" w:color="auto"/>
        <w:right w:val="none" w:sz="0" w:space="0" w:color="auto"/>
      </w:divBdr>
    </w:div>
    <w:div w:id="1376463605">
      <w:bodyDiv w:val="1"/>
      <w:marLeft w:val="0"/>
      <w:marRight w:val="0"/>
      <w:marTop w:val="0"/>
      <w:marBottom w:val="0"/>
      <w:divBdr>
        <w:top w:val="none" w:sz="0" w:space="0" w:color="auto"/>
        <w:left w:val="none" w:sz="0" w:space="0" w:color="auto"/>
        <w:bottom w:val="none" w:sz="0" w:space="0" w:color="auto"/>
        <w:right w:val="none" w:sz="0" w:space="0" w:color="auto"/>
      </w:divBdr>
    </w:div>
    <w:div w:id="1926068778">
      <w:bodyDiv w:val="1"/>
      <w:marLeft w:val="0"/>
      <w:marRight w:val="0"/>
      <w:marTop w:val="0"/>
      <w:marBottom w:val="0"/>
      <w:divBdr>
        <w:top w:val="none" w:sz="0" w:space="0" w:color="auto"/>
        <w:left w:val="none" w:sz="0" w:space="0" w:color="auto"/>
        <w:bottom w:val="none" w:sz="0" w:space="0" w:color="auto"/>
        <w:right w:val="none" w:sz="0" w:space="0" w:color="auto"/>
      </w:divBdr>
    </w:div>
    <w:div w:id="1970747824">
      <w:bodyDiv w:val="1"/>
      <w:marLeft w:val="0"/>
      <w:marRight w:val="0"/>
      <w:marTop w:val="0"/>
      <w:marBottom w:val="0"/>
      <w:divBdr>
        <w:top w:val="none" w:sz="0" w:space="0" w:color="auto"/>
        <w:left w:val="none" w:sz="0" w:space="0" w:color="auto"/>
        <w:bottom w:val="none" w:sz="0" w:space="0" w:color="auto"/>
        <w:right w:val="none" w:sz="0" w:space="0" w:color="auto"/>
      </w:divBdr>
    </w:div>
    <w:div w:id="2002467253">
      <w:bodyDiv w:val="1"/>
      <w:marLeft w:val="0"/>
      <w:marRight w:val="0"/>
      <w:marTop w:val="0"/>
      <w:marBottom w:val="0"/>
      <w:divBdr>
        <w:top w:val="none" w:sz="0" w:space="0" w:color="auto"/>
        <w:left w:val="none" w:sz="0" w:space="0" w:color="auto"/>
        <w:bottom w:val="none" w:sz="0" w:space="0" w:color="auto"/>
        <w:right w:val="none" w:sz="0" w:space="0" w:color="auto"/>
      </w:divBdr>
    </w:div>
    <w:div w:id="2032299933">
      <w:bodyDiv w:val="1"/>
      <w:marLeft w:val="0"/>
      <w:marRight w:val="0"/>
      <w:marTop w:val="0"/>
      <w:marBottom w:val="0"/>
      <w:divBdr>
        <w:top w:val="none" w:sz="0" w:space="0" w:color="auto"/>
        <w:left w:val="none" w:sz="0" w:space="0" w:color="auto"/>
        <w:bottom w:val="none" w:sz="0" w:space="0" w:color="auto"/>
        <w:right w:val="none" w:sz="0" w:space="0" w:color="auto"/>
      </w:divBdr>
    </w:div>
    <w:div w:id="2109038829">
      <w:bodyDiv w:val="1"/>
      <w:marLeft w:val="0"/>
      <w:marRight w:val="0"/>
      <w:marTop w:val="0"/>
      <w:marBottom w:val="0"/>
      <w:divBdr>
        <w:top w:val="none" w:sz="0" w:space="0" w:color="auto"/>
        <w:left w:val="none" w:sz="0" w:space="0" w:color="auto"/>
        <w:bottom w:val="none" w:sz="0" w:space="0" w:color="auto"/>
        <w:right w:val="none" w:sz="0" w:space="0" w:color="auto"/>
      </w:divBdr>
    </w:div>
    <w:div w:id="21456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kertilly.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kertillyinternational.com/web/home.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amila.zitnakova@crestcom.cz"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7" ma:contentTypeDescription="Create a new document." ma:contentTypeScope="" ma:versionID="ba54ac86fa32514b7de18f7e3d343370">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0cf17a622c2a0e98eb65bc20358a695a"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Props1.xml><?xml version="1.0" encoding="utf-8"?>
<ds:datastoreItem xmlns:ds="http://schemas.openxmlformats.org/officeDocument/2006/customXml" ds:itemID="{C93AA623-DF1C-419B-AF75-233BA4F65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FF66F-A157-442A-8009-5FD2957D1C07}">
  <ds:schemaRefs>
    <ds:schemaRef ds:uri="http://schemas.microsoft.com/sharepoint/v3/contenttype/forms"/>
  </ds:schemaRefs>
</ds:datastoreItem>
</file>

<file path=customXml/itemProps3.xml><?xml version="1.0" encoding="utf-8"?>
<ds:datastoreItem xmlns:ds="http://schemas.openxmlformats.org/officeDocument/2006/customXml" ds:itemID="{D324D755-B27C-44A7-AE74-9DCC544A0D65}">
  <ds:schemaRefs>
    <ds:schemaRef ds:uri="http://schemas.openxmlformats.org/officeDocument/2006/bibliography"/>
  </ds:schemaRefs>
</ds:datastoreItem>
</file>

<file path=customXml/itemProps4.xml><?xml version="1.0" encoding="utf-8"?>
<ds:datastoreItem xmlns:ds="http://schemas.openxmlformats.org/officeDocument/2006/customXml" ds:itemID="{9F97E4DF-B34A-40D8-9B4C-46486313516F}">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705</Words>
  <Characters>4164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Linhartová</dc:creator>
  <cp:keywords/>
  <dc:description/>
  <cp:lastModifiedBy>Vendula Pavlíčková | CrestCommunications a.s.</cp:lastModifiedBy>
  <cp:revision>27</cp:revision>
  <cp:lastPrinted>2026-04-13T10:59:00Z</cp:lastPrinted>
  <dcterms:created xsi:type="dcterms:W3CDTF">2026-07-14T21:33:00Z</dcterms:created>
  <dcterms:modified xsi:type="dcterms:W3CDTF">2026-07-17T06:56:00Z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